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Karlskrona kommun</w:t>
      </w:r>
    </w:p>
    <w:p/>
    <w:p>
      <w:r>
        <w:rPr>
          <w:rFonts w:ascii="Arial" w:hAnsi="Arial"/>
          <w:b/>
          <w:sz w:val="24"/>
        </w:rPr>
        <w:t>Motion till Karlskrona kommunfullmäktige</w:t>
      </w:r>
    </w:p>
    <w:p/>
    <w:p>
      <w:r>
        <w:rPr>
          <w:rFonts w:ascii="Arial" w:hAnsi="Arial"/>
          <w:b/>
          <w:sz w:val="24"/>
        </w:rPr>
        <w:t>Motion om förbättrat stöd till landsbygd och områden som Trossö och Sturkö</w:t>
      </w:r>
    </w:p>
    <w:p/>
    <w:p>
      <w:r>
        <w:rPr>
          <w:rFonts w:ascii="Arial" w:hAnsi="Arial"/>
          <w:sz w:val="24"/>
        </w:rPr>
        <w:t>Inlämnad av: Sverigedemokraterna i Karlskrona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Landsbygden och specifika områden som Trossö och Sturkö behöver riktade satsningar för infrastruktur och service. Kommunen har ansvar för hela kommunen.</w:t>
      </w:r>
    </w:p>
    <w:p>
      <w:r>
        <w:rPr>
          <w:rFonts w:ascii="Arial" w:hAnsi="Arial"/>
          <w:sz w:val="24"/>
        </w:rPr>
        <w:t>Beslut om lokala väg- och broprojekt samt servicegarantier ligger inom kommunens makt.</w:t>
      </w:r>
    </w:p>
    <w:p>
      <w:r>
        <w:rPr>
          <w:rFonts w:ascii="Arial" w:hAnsi="Arial"/>
          <w:sz w:val="24"/>
        </w:rPr>
        <w:t>Detta stärker hela kommunen och motverkar centralisering.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särskild pott för landsbygdsutveckling i budget 2027.</w:t>
      </w:r>
    </w:p>
    <w:p>
      <w:r>
        <w:rPr>
          <w:rFonts w:ascii="Arial" w:hAnsi="Arial"/>
          <w:sz w:val="24"/>
        </w:rPr>
        <w:t>att underhåll av vägar och broar på Trossö och Sturkö prioriteras.</w:t>
      </w:r>
    </w:p>
    <w:p>
      <w:r>
        <w:rPr>
          <w:rFonts w:ascii="Arial" w:hAnsi="Arial"/>
          <w:sz w:val="24"/>
        </w:rPr>
        <w:t>att servicegaranti för landsbygden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Karlskrona)</w:t>
      </w:r>
    </w:p>
    <w:p>
      <w:r>
        <w:rPr>
          <w:rFonts w:ascii="Arial" w:hAnsi="Arial"/>
          <w:sz w:val="24"/>
        </w:rPr>
        <w:t>Ort: Karlskrona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