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använder ny demografisk modell. För att stärka medborgarnas förtroende behövs mer öppenhet kring prioriteringar. Positivt ekonomiskt resultat 2025 ger utrymme men kräver insyn.</w:t>
      </w:r>
    </w:p>
    <w:p>
      <w:r>
        <w:rPr>
          <w:rFonts w:ascii="Arial" w:hAnsi="Arial"/>
          <w:sz w:val="24"/>
        </w:rPr>
        <w:t>Kommunen kan besluta om offentliga redovisningar och medborgardialoger. SD prioriterar skattbetalarnas rätt till insyn. Hyperlokalt relevant efter ekonomisk omställning.</w:t>
      </w:r>
    </w:p>
    <w:p>
      <w:r>
        <w:rPr>
          <w:rFonts w:ascii="Arial" w:hAnsi="Arial"/>
          <w:sz w:val="24"/>
        </w:rPr>
        <w:t>Transparens är en kärnfråga för SD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publicerar detaljerad månadsrapport om budgetutfallet.</w:t>
      </w:r>
    </w:p>
    <w:p>
      <w:r>
        <w:rPr>
          <w:rFonts w:ascii="Arial" w:hAnsi="Arial"/>
          <w:sz w:val="24"/>
        </w:rPr>
        <w:t>att medborgardialoger om budgetprioriteringar hålls minst två gånger per år.</w:t>
      </w:r>
    </w:p>
    <w:p>
      <w:r>
        <w:rPr>
          <w:rFonts w:ascii="Arial" w:hAnsi="Arial"/>
          <w:sz w:val="24"/>
        </w:rPr>
        <w:t>att alla investeringar redovisas öppet på kommunens webbplats.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