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Hedemora kommun</w:t>
      </w:r>
    </w:p>
    <w:p/>
    <w:p>
      <w:r>
        <w:rPr>
          <w:rFonts w:ascii="Arial" w:hAnsi="Arial"/>
          <w:b/>
          <w:sz w:val="24"/>
        </w:rPr>
        <w:t>Motion till Hedemora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Hedemora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för trygg äldreomsorg. Nationella krav på svenska språkkunskaper träder in 2026 och Hedemora bör ligga i framkant. Många äldre har rätt till vård på svenska. SD prioriterar kvalitet och medborgarnas behov. Kommunen kan besluta om krav vid rekrytering.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språkkrav motsvarande nivå C1 för all personal inom kommunal äldreomsorg från 2026</w:t>
      </w:r>
    </w:p>
    <w:p>
      <w:r>
        <w:rPr>
          <w:rFonts w:ascii="Arial" w:hAnsi="Arial"/>
          <w:sz w:val="24"/>
        </w:rPr>
        <w:t>att utbildningsinsatser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Hedemora)</w:t>
      </w:r>
    </w:p>
    <w:p>
      <w:r>
        <w:rPr>
          <w:rFonts w:ascii="Arial" w:hAnsi="Arial"/>
          <w:sz w:val="24"/>
        </w:rPr>
        <w:t>Ort: Hedemora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Hedemora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Hedemora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Hedemora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