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förbättrade skolresultat med fokus på ordning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meritvärde 208,9 och 83 procent behörighet finns potential för förbättring i Rättviks skolor. SD vill koppla ordning direkt till bättre resultat. Konkreta mål och åtgärder behövs för att höja nivån.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sätter mål om meritvärde 230 och 90 procent behörighet till 2028</w:t>
      </w:r>
    </w:p>
    <w:p>
      <w:r>
        <w:rPr>
          <w:rFonts w:ascii="Arial" w:hAnsi="Arial"/>
          <w:sz w:val="24"/>
        </w:rPr>
        <w:t>att extra resurser till ordningsarbete och läxhjälp fördelas</w:t>
      </w:r>
    </w:p>
    <w:p>
      <w:r>
        <w:rPr>
          <w:rFonts w:ascii="Arial" w:hAnsi="Arial"/>
          <w:sz w:val="24"/>
        </w:rPr>
        <w:t>att resultat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