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Hofors kommun</w:t>
      </w:r>
    </w:p>
    <w:p/>
    <w:p>
      <w:r>
        <w:rPr>
          <w:rFonts w:ascii="Arial" w:hAnsi="Arial"/>
          <w:b/>
          <w:sz w:val="24"/>
        </w:rPr>
        <w:t>Motion till Hofors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Hofors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Projekt som Trygg Ung i Hofors visar på behov av riktade insatser för unga i riskzon. SD vill koppla kommunala integrationsinsatser till tydliga krav på svenska språkkunskaper och grundläggande svenska värderingar som jämställdhet och demokrati. Detta skapar långsiktig integration och motverkar utanförskap i Hofors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språk- och värderingskrav i alla kommunala integrationsprogram från 2027.</w:t>
      </w:r>
    </w:p>
    <w:p>
      <w:r>
        <w:rPr>
          <w:rFonts w:ascii="Arial" w:hAnsi="Arial"/>
          <w:sz w:val="24"/>
        </w:rPr>
        <w:t>att krav kopplas till Trygg Ung och andra insatser.</w:t>
      </w:r>
    </w:p>
    <w:p>
      <w:r>
        <w:rPr>
          <w:rFonts w:ascii="Arial" w:hAnsi="Arial"/>
          <w:sz w:val="24"/>
        </w:rPr>
        <w:t>att uppföljning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Hofors)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Hofors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Hofors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