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förstärkt förebyggande arbete mot ungdomskriminalitet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 Ung-projektet i Hofors (2023–2026) har visat goda resultat för unga 16–29 år i risk för kriminalitet eller missbruk. SD vill utveckla detta med tydligare krav på deltagande och uppföljning samt utöka samarbetet med polisen för att stoppa gängrekrytering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permanentning och utveckling av Trygg Ung efter augusti 2026.</w:t>
      </w:r>
    </w:p>
    <w:p>
      <w:r>
        <w:rPr>
          <w:rFonts w:ascii="Arial" w:hAnsi="Arial"/>
          <w:sz w:val="24"/>
        </w:rPr>
        <w:t>att krav på aktivitet och resultat införs för deltagare.</w:t>
      </w:r>
    </w:p>
    <w:p>
      <w:r>
        <w:rPr>
          <w:rFonts w:ascii="Arial" w:hAnsi="Arial"/>
          <w:sz w:val="24"/>
        </w:rPr>
        <w:t>att samverkan med polis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