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ökad trygghet i centrala Ljusdal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Ljusdal kommun har under 2025 haft 1 416 anmälda brott enligt Brå, motsvarande 7 691 per 100 000 invånare. Kommunens egna lägesbilder visar viss minskning av incidenter tidigt 2026, men otrygghet kvarstår i centrala områden. SD vill prioritera medborgarnas säkerhet genom konkreta åtgärder som kommunen kan besluta om. Samverkan med polis och tekniska lösningar stärker tryggheten utan stora kostnader. Detta ligger i linje med SD:s fokus på lag och ordning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CCTV-kameror på strategiska platser i centrala Ljusdal under 2026</w:t>
      </w:r>
    </w:p>
    <w:p>
      <w:r>
        <w:rPr>
          <w:rFonts w:ascii="Arial" w:hAnsi="Arial"/>
          <w:sz w:val="24"/>
        </w:rPr>
        <w:t>att uppmana kommunstyrelsen att intensifiera samverkan med Polisen för ökad närvaro</w:t>
      </w:r>
    </w:p>
    <w:p>
      <w:r>
        <w:rPr>
          <w:rFonts w:ascii="Arial" w:hAnsi="Arial"/>
          <w:sz w:val="24"/>
        </w:rPr>
        <w:t>att avsätta medel i budget 2027 för trygghetsvandringar och belysning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