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stärkt brottsförebyggande arbete i Nordanstig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låg brottslighet har Brå-rapporter och medborgarlöfte med polisen visat på behov av kontinuerligt arbete. Hassela-evenemang och skolincidenter understryker vikten av förebyggande insatser. SD vill bygga vidare på befintliga strukturer för ökad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Brottsförebyggande rådet får utökade resurser för lokala åtgärder 2026</w:t>
      </w:r>
    </w:p>
    <w:p>
      <w:r>
        <w:rPr>
          <w:rFonts w:ascii="Arial" w:hAnsi="Arial"/>
          <w:sz w:val="24"/>
        </w:rPr>
        <w:t>att samverkan med polisen förstärks med gemensamma insatser</w:t>
      </w:r>
    </w:p>
    <w:p>
      <w:r>
        <w:rPr>
          <w:rFonts w:ascii="Arial" w:hAnsi="Arial"/>
          <w:sz w:val="24"/>
        </w:rPr>
        <w:t>att årlig rapport till fullmäktige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