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Hylte kommun</w:t>
      </w:r>
    </w:p>
    <w:p/>
    <w:p>
      <w:r>
        <w:rPr>
          <w:rFonts w:ascii="Arial" w:hAnsi="Arial"/>
          <w:b/>
          <w:sz w:val="24"/>
        </w:rPr>
        <w:t>Motion till Hylte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Hylte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politiska turbulensen kring budgeten 2026 visade behov av större öppenhet. Medborgarna i Hylte har rätt att tydligt se hur beslut fattas och pengar används. SD vill ha mer transparens för att stärka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offentliga sammanfattningar av alla budgetbeslut från 2026.</w:t>
      </w:r>
    </w:p>
    <w:p>
      <w:r>
        <w:rPr>
          <w:rFonts w:ascii="Arial" w:hAnsi="Arial"/>
          <w:sz w:val="24"/>
        </w:rPr>
        <w:t>att medborgardialoger hålls inför stora beslut.</w:t>
      </w:r>
    </w:p>
    <w:p>
      <w:r>
        <w:rPr>
          <w:rFonts w:ascii="Arial" w:hAnsi="Arial"/>
          <w:sz w:val="24"/>
        </w:rPr>
        <w:t>att protokoll och underlag publiceras snabbare på hylte.se.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Hylte)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Hylte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Hylte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