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brottsförebyggande åtgärder mot kriminella nätverk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lägre brottstal än rikssnittet (65 per 1 000 invånare) finns risk för påverkan från närliggande storstad. "Trygg uppväxt"-projektet är positivt men behöver kompletteras med åtgärder mot rekrytering till kriminalitet.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BRÅ att ta fram en plan mot kriminella nätverk med fokus på skola och fritidsverksamhet</w:t>
      </w:r>
    </w:p>
    <w:p>
      <w:r>
        <w:rPr>
          <w:rFonts w:ascii="Arial" w:hAnsi="Arial"/>
          <w:sz w:val="24"/>
        </w:rPr>
        <w:t>att samarbeta med polis om tidiga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