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förstärkta brottsförebyggande åtgärder mot narkotika i Varberg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Lägesbilden 2024 visar att narkotikabrott är en prioriterad kategori i Varberg. Ökningen av anmälningar kräver förebyggande insatser riktade mot ungdomar och utsatta områden.</w:t>
      </w:r>
    </w:p>
    <w:p>
      <w:r>
        <w:rPr>
          <w:rFonts w:ascii="Arial" w:hAnsi="Arial"/>
          <w:sz w:val="24"/>
        </w:rPr>
        <w:t>SD ser brottsförebyggande som en kommunal kärnuppgift i samverkan med polis. Medborgarlöftet ger ramar, men konkreta lokala åtgärder saknas.</w:t>
      </w:r>
    </w:p>
    <w:p>
      <w:r>
        <w:rPr>
          <w:rFonts w:ascii="Arial" w:hAnsi="Arial"/>
          <w:sz w:val="24"/>
        </w:rPr>
        <w:t>Trygghet för alla varbergare är grundläggande.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uppdatera brottsförebyggande planen med specifika insatser mot narkotika 2027-2028.</w:t>
      </w:r>
    </w:p>
    <w:p>
      <w:r>
        <w:rPr>
          <w:rFonts w:ascii="Arial" w:hAnsi="Arial"/>
          <w:sz w:val="24"/>
        </w:rPr>
        <w:t>att samverkan med skola och fritidsverksamhet prioriteras.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