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medborgare först i stadsutvecklingsprojekt som Västerport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Projekt som Västerport och Fregatten 5 i centrala Varberg planeras med fokus på tillväxt. SD vill säkerställa att invånarnas trygghet, ekonomi och inflytande prioriteras före exploatering.</w:t>
      </w:r>
    </w:p>
    <w:p>
      <w:r>
        <w:rPr>
          <w:rFonts w:ascii="Arial" w:hAnsi="Arial"/>
          <w:sz w:val="24"/>
        </w:rPr>
        <w:t>Budget 2026 betonar ansvar; medborgarna ska komma först. Transparens och lokala hänsyn är avgörande.</w:t>
      </w:r>
    </w:p>
    <w:p>
      <w:r>
        <w:rPr>
          <w:rFonts w:ascii="Arial" w:hAnsi="Arial"/>
          <w:sz w:val="24"/>
        </w:rPr>
        <w:t>Detta stärker SD:s profil som försvarare av vanliga varbergare.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nya stadsutvecklingsprojekt ska innehålla trygghets- och medborgaranalys före beslut.</w:t>
      </w:r>
    </w:p>
    <w:p>
      <w:r>
        <w:rPr>
          <w:rFonts w:ascii="Arial" w:hAnsi="Arial"/>
          <w:sz w:val="24"/>
        </w:rPr>
        <w:t>att Västerport-projektet särskilt granskas ur trygghetsperspektiv.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