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stärkt brottsförebyggande arbete med medborgarfokus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Bräcke har relativt låg brottslighet men brottsförebyggande rådet arbetar aktivt. Fokus på medborgarnas trygghet och tidig intervention är viktigt.</w:t>
      </w:r>
    </w:p>
    <w:p>
      <w:r>
        <w:rPr>
          <w:rFonts w:ascii="Arial" w:hAnsi="Arial"/>
          <w:sz w:val="24"/>
        </w:rPr>
        <w:t>SD vill se samverkan med polis och lokala aktörer för att förebygga problem.</w:t>
      </w:r>
    </w:p>
    <w:p>
      <w:r>
        <w:rPr>
          <w:rFonts w:ascii="Arial" w:hAnsi="Arial"/>
          <w:sz w:val="24"/>
        </w:rPr>
        <w:t>Särskilt fokus på ungdomar och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brottsförebyggande rådet att förstärka insatserna med tydligt medborgarfokus 2026</w:t>
      </w:r>
    </w:p>
    <w:p>
      <w:r>
        <w:rPr>
          <w:rFonts w:ascii="Arial" w:hAnsi="Arial"/>
          <w:sz w:val="24"/>
        </w:rPr>
        <w:t>att samverkan med polis och skola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