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ökad transparens i det brottsförebyggande arbetet</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Kommunen tog fram en ny lagstadgad lägesbild över brottsligheten 2025 med fokus på centrala områden och specifika brottstyper. SD vill se regelbunden offentlig redovisning av åtgärder och resultat för att öka förtroendet och möjliggöra medborgarinflytande.</w:t>
      </w:r>
    </w:p>
    <w:p/>
    <w:p>
      <w:r>
        <w:rPr>
          <w:rFonts w:ascii="Arial" w:hAnsi="Arial"/>
          <w:b/>
          <w:sz w:val="24"/>
        </w:rPr>
        <w:t>Förslag till beslut</w:t>
      </w:r>
    </w:p>
    <w:p>
      <w:r>
        <w:rPr>
          <w:rFonts w:ascii="Arial" w:hAnsi="Arial"/>
          <w:sz w:val="24"/>
        </w:rPr>
        <w:t>att kommunfullmäktige beslutar om årlig offentlig rapport om brottsförebyggande arbete till kommunfullmäktige,</w:t>
      </w:r>
    </w:p>
    <w:p>
      <w:r>
        <w:rPr>
          <w:rFonts w:ascii="Arial" w:hAnsi="Arial"/>
          <w:sz w:val="24"/>
        </w:rPr>
        <w:t>att rapporten inkluderar statistik per stadsdel,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