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krav på egenförsörjning vid integration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Minskad invandring 2025 ger utrymme för striktare krav. SD vill att nyanlända ska ha tydliga krav på språk, arbete och svenska värderingar för att bli en del av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egenförsörjning inom två år för nyanlända</w:t>
      </w:r>
    </w:p>
    <w:p>
      <w:r>
        <w:rPr>
          <w:rFonts w:ascii="Arial" w:hAnsi="Arial"/>
          <w:sz w:val="24"/>
        </w:rPr>
        <w:t>att SFI-resultat kopplas till fortsatta stödinsatser</w:t>
      </w:r>
    </w:p>
    <w:p>
      <w:r>
        <w:rPr>
          <w:rFonts w:ascii="Arial" w:hAnsi="Arial"/>
          <w:sz w:val="24"/>
        </w:rPr>
        <w:t>att årlig uppföljning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