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prioritering av skattbetalare vid resursfördelning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i första hand gynna de som betalar skatt. SD vill ha tydlig prioritering av kommuninvånare.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kommunens skattbetalare.</w:t>
      </w:r>
    </w:p>
    <w:p>
      <w:r>
        <w:rPr>
          <w:rFonts w:ascii="Arial" w:hAnsi="Arial"/>
          <w:sz w:val="24"/>
        </w:rPr>
        <w:t>att detta tillämpas vid välfärdsinsatser.</w:t>
      </w:r>
    </w:p>
    <w:p>
      <w:r>
        <w:rPr>
          <w:rFonts w:ascii="Arial" w:hAnsi="Arial"/>
          <w:sz w:val="24"/>
        </w:rPr>
        <w:t>att uppföljning sker i budgetprocessen.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