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skärpta brottsförebyggande åtgärder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lokala brottsförebyggande rådet och medborgarlöftet behöver konkreta åtgärder mot ungdomsbrottslighet och otrygghet.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insatser mot ungdomsbrottslighet.</w:t>
      </w:r>
    </w:p>
    <w:p>
      <w:r>
        <w:rPr>
          <w:rFonts w:ascii="Arial" w:hAnsi="Arial"/>
          <w:sz w:val="24"/>
        </w:rPr>
        <w:t>att fler kameror och belysning prioriteras.</w:t>
      </w:r>
    </w:p>
    <w:p>
      <w:r>
        <w:rPr>
          <w:rFonts w:ascii="Arial" w:hAnsi="Arial"/>
          <w:sz w:val="24"/>
        </w:rPr>
        <w:t>att samverkan med polis och skola intensifieras.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