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prioritering av Haparandas medborgare och skattbetalare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de som bor och betalar skatt här. Som sverigedemokrater sätter vi medborgarna främst. Det innebär att välfärd och service prioriteras för invånarna framför andra grupper.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i all verksamhet.</w:t>
      </w:r>
    </w:p>
    <w:p>
      <w:r>
        <w:rPr>
          <w:rFonts w:ascii="Arial" w:hAnsi="Arial"/>
          <w:sz w:val="24"/>
        </w:rPr>
        <w:t>att resurser inte omfördelas till icke-kommunala ändamål utan beslut.</w:t>
      </w:r>
    </w:p>
    <w:p>
      <w:r>
        <w:rPr>
          <w:rFonts w:ascii="Arial" w:hAnsi="Arial"/>
          <w:sz w:val="24"/>
        </w:rPr>
        <w:t>att årlig redovisning av prioriteringar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