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effektivisering av Kirunas kommunala förvaltning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Budgetdirektiv 2026-2029 visar behov av effektiv resursanvändning. Onödig byråkrati ska minskas för Kirunaborna.</w:t>
      </w:r>
    </w:p>
    <w:p>
      <w:r>
        <w:rPr>
          <w:rFonts w:ascii="Arial" w:hAnsi="Arial"/>
          <w:sz w:val="24"/>
        </w:rPr>
        <w:t>Kommunen kan besluta om översyn.</w:t>
      </w:r>
    </w:p>
    <w:p>
      <w:r>
        <w:rPr>
          <w:rFonts w:ascii="Arial" w:hAnsi="Arial"/>
          <w:sz w:val="24"/>
        </w:rPr>
        <w:t>SD vill ha skattemedel till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effektiviseringsöversyn 2027</w:t>
      </w:r>
    </w:p>
    <w:p>
      <w:r>
        <w:rPr>
          <w:rFonts w:ascii="Arial" w:hAnsi="Arial"/>
          <w:sz w:val="24"/>
        </w:rPr>
        <w:t>att administrativa kostnader minskas med 5 procent</w:t>
      </w:r>
    </w:p>
    <w:p>
      <w:r>
        <w:rPr>
          <w:rFonts w:ascii="Arial" w:hAnsi="Arial"/>
          <w:sz w:val="24"/>
        </w:rPr>
        <w:t>att besparingar går till vård och skola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