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bättre resultat och likvärdighet i Luleås grundskolor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klyftor mellan skolor hotar likvärdigheten. Med extra budgetmedel 2026 vill SD se riktade insatser för att höja lägstanivån och meritvärden över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riktade resurser till skolor med lägst resultat</w:t>
      </w:r>
    </w:p>
    <w:p>
      <w:r>
        <w:rPr>
          <w:rFonts w:ascii="Arial" w:hAnsi="Arial"/>
          <w:sz w:val="24"/>
        </w:rPr>
        <w:t>att nationella prov och meritvärden följs upp årligen</w:t>
      </w:r>
    </w:p>
    <w:p>
      <w:r>
        <w:rPr>
          <w:rFonts w:ascii="Arial" w:hAnsi="Arial"/>
          <w:sz w:val="24"/>
        </w:rPr>
        <w:t>att lärarfortbildning i ordning och studiero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