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stärkt studiero och ordning i Åtvidabergs grundskolor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Åtvidaberg visar meritvärde på 205 poäng 2025 men med sjunkande trend de senaste åren. Positiva resultat finns men mål missas i vissa verksamheter. Studiero är avgörande för elevernas kunskapsutveckling. SD vill införa tydliga rutiner för ordning och stöd till lärarna.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kommunövergripande riktlinjer för studiero och ordning i grundskolan</w:t>
      </w:r>
    </w:p>
    <w:p>
      <w:r>
        <w:rPr>
          <w:rFonts w:ascii="Arial" w:hAnsi="Arial"/>
          <w:sz w:val="24"/>
        </w:rPr>
        <w:t>att lärarna ges ökat stöd med disciplinära verktyg</w:t>
      </w:r>
    </w:p>
    <w:p>
      <w:r>
        <w:rPr>
          <w:rFonts w:ascii="Arial" w:hAnsi="Arial"/>
          <w:sz w:val="24"/>
        </w:rPr>
        <w:t>att resultatuppföljning sker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