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utökade trygghetsvandringar ur jämställdhetsperspektiv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2026–2027 inkluderar trygghetsvandringar med fokus på flickor, kvinnor och icke-binära. Detta är viktigt för att förebygga mäns våld mot kvinnor. SD vill se att arbetet förstärks och görs regelbundet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minst fyra trygghetsvandringar per år</w:t>
      </w:r>
    </w:p>
    <w:p>
      <w:r>
        <w:rPr>
          <w:rFonts w:ascii="Arial" w:hAnsi="Arial"/>
          <w:sz w:val="24"/>
        </w:rPr>
        <w:t>att resultaten integreras i den lokala brottsförebyggande handlingsplanen</w:t>
      </w:r>
    </w:p>
    <w:p>
      <w:r>
        <w:rPr>
          <w:rFonts w:ascii="Arial" w:hAnsi="Arial"/>
          <w:sz w:val="24"/>
        </w:rPr>
        <w:t>att samverkan med kvinnojour och polis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