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ökad trygghet i Nyhem och Storängen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Finspångs kommun har identifierat Nyhem, Storängen och Hårstorp/Dunderbacken som socioekonomiskt utsatta områden. Anmälda brott ligger över rikssnittet med 104 per 1 000 invånare. Under 2025-2026 har flera incidenter rapporterats i dessa områden. SD Finspång ser behov av riktade insatser för att bryta segregation och öka tryggheten för boende. Ett kunskapsbaserat brottsförebyggande arbete enligt kommunens eget program 2025-2028 bör förstärkas med fler kameror, ökad polisnärvaro och samverkan med fastighetsägare.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fler trygghetskameror och belysning i Nyhem och Storängen under 2026-2027.</w:t>
      </w:r>
    </w:p>
    <w:p>
      <w:r>
        <w:rPr>
          <w:rFonts w:ascii="Arial" w:hAnsi="Arial"/>
          <w:sz w:val="24"/>
        </w:rPr>
        <w:t>att en handlingsplan för ökad samverkan mellan polis, kommun och fastighetsbolag tas fram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