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motverkande av tvångsblandning i skolor och bostadsområden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motsätter sig politisk tvångsblandning som verktyg för att kompensera integrationsmisslyckanden. Fungerande områden och skolor ska inte användas som experiment. I Linköping ska alla områden utvecklas på egna meriter med fokus på trygghet och 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inte använda tvångsförflyttningar av elever eller boende för integrationsändamål</w:t>
      </w:r>
    </w:p>
    <w:p>
      <w:r>
        <w:rPr>
          <w:rFonts w:ascii="Arial" w:hAnsi="Arial"/>
          <w:sz w:val="24"/>
        </w:rPr>
        <w:t>att kommunfullmäktige beslutar att prioritera lokala lösningar och resurser till utsatta områden</w:t>
      </w:r>
    </w:p>
    <w:p>
      <w:r>
        <w:rPr>
          <w:rFonts w:ascii="Arial" w:hAnsi="Arial"/>
          <w:sz w:val="24"/>
        </w:rPr>
        <w:t>att kommunfullmäktige beslutar att utvärdera effekterna av befintliga blandningsprojekt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