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utökad samverkan mot organiserad brottslighet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Norrköpings åtgärdsplan 2026–2027 visar behov av bredare samverkan. Organiserad brottslighet kräver krafttag med näringsliv och polis. SD driver trygghet som topprioritet. Kommunen kan förstärka NoBrå:s mandat.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NoBrå utökade resurser och mandat för 2026–2027.</w:t>
      </w:r>
    </w:p>
    <w:p>
      <w:r>
        <w:rPr>
          <w:rFonts w:ascii="Arial" w:hAnsi="Arial"/>
          <w:sz w:val="24"/>
        </w:rPr>
        <w:t>att samverkan med näringsliv formaliseras med avtal.</w:t>
      </w:r>
    </w:p>
    <w:p>
      <w:r>
        <w:rPr>
          <w:rFonts w:ascii="Arial" w:hAnsi="Arial"/>
          <w:sz w:val="24"/>
        </w:rPr>
        <w:t>att årliga lägesrapporter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