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förbättrade skolresultat och studiero i Petrus Magni skola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Vadstena har sjunkit med 22,9 poäng mellan 2020 och 2025 enligt tillgänglig statistik. Petrus Magni skola (årskurs 7-9) är en nyckelskola där åtgärder behövs för att vända trenden. Renoveringen av Katarinaskolan påverkar läsåren 2026/2027, vilket kräver extra fokus på studiero. SD ser ordning och kunskap som grund för framtidens Vadstena.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till Petrus Magni skola för fler lärare och ordningsåtgärder</w:t>
      </w:r>
    </w:p>
    <w:p>
      <w:r>
        <w:rPr>
          <w:rFonts w:ascii="Arial" w:hAnsi="Arial"/>
          <w:sz w:val="24"/>
        </w:rPr>
        <w:t>att införa tydliga regler för studiero och mobilförbud i samtliga grundskolor</w:t>
      </w:r>
    </w:p>
    <w:p>
      <w:r>
        <w:rPr>
          <w:rFonts w:ascii="Arial" w:hAnsi="Arial"/>
          <w:sz w:val="24"/>
        </w:rPr>
        <w:t>att följa upp skolresultaten kvartalsvis med åtgärdsplaner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