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förstärkt brottsförebyggande arbete i Ringarum och Gryt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Hyperlokala områden som Ringarum (Kyrkvägen) och Gryt behöver riktade insatser. Medborgarlöftet bör inkludera dessa orter.</w:t>
      </w:r>
    </w:p>
    <w:p>
      <w:r>
        <w:rPr>
          <w:rFonts w:ascii="Arial" w:hAnsi="Arial"/>
          <w:sz w:val="24"/>
        </w:rPr>
        <w:t>Kommunen kan besluta om lokala samverkansgrupper.</w:t>
      </w:r>
    </w:p>
    <w:p>
      <w:r>
        <w:rPr>
          <w:rFonts w:ascii="Arial" w:hAnsi="Arial"/>
          <w:sz w:val="24"/>
        </w:rPr>
        <w:t>Trygghet ska gälla hela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lokala trygghetsgrupper i Ringarum och Gryt</w:t>
      </w:r>
    </w:p>
    <w:p>
      <w:r>
        <w:rPr>
          <w:rFonts w:ascii="Arial" w:hAnsi="Arial"/>
          <w:sz w:val="24"/>
        </w:rPr>
        <w:t>att kameraövervakning prioriteras i dessa områden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