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högre studiero och ordning i Strandängsskolan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Strandängsskolan F-9 har meritvärde nära rikssnittet men kommunens totala 224,6 ligger något under. SD vill fokusera på studiero och ordning för att höja resultaten. Lokala problem med disciplin rapporteras i grundskolor. Åtgärder som mobilförbud och tydliga regler ligger inom kommunens kompetens.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på Strandängsskolan</w:t>
      </w:r>
    </w:p>
    <w:p>
      <w:r>
        <w:rPr>
          <w:rFonts w:ascii="Arial" w:hAnsi="Arial"/>
          <w:sz w:val="24"/>
        </w:rPr>
        <w:t>att lärarbehörigheten stärks genom kompetensutveckling</w:t>
      </w:r>
    </w:p>
    <w:p>
      <w:r>
        <w:rPr>
          <w:rFonts w:ascii="Arial" w:hAnsi="Arial"/>
          <w:sz w:val="24"/>
        </w:rPr>
        <w:t>att resultat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