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ökad trygghet i centrala Hässleholm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Hässleholms kommun har ett högre antal anmälda brott än rikssnittet med 110 brott per 1 000 invånare enligt 2025-statistik. Brottsförebyggande arbetet har en åtgärdsplan för 2026-2028 men fler konkreta insatser behövs i centrala områden. SD vill prioritera medborgarnas trygghet framför andra utgifter. Lokala företagare har hyllat vissa förbättringar men efterfrågar mer. En trygg kommun är grunden för välfärd och tillväxt.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fler övervakningskameror i centrala Hässleholm under 2026</w:t>
      </w:r>
    </w:p>
    <w:p>
      <w:r>
        <w:rPr>
          <w:rFonts w:ascii="Arial" w:hAnsi="Arial"/>
          <w:sz w:val="24"/>
        </w:rPr>
        <w:t>att en förstärkt samverkan med Polisen inleds för ökad närvaro i utsatta områden</w:t>
      </w:r>
    </w:p>
    <w:p>
      <w:r>
        <w:rPr>
          <w:rFonts w:ascii="Arial" w:hAnsi="Arial"/>
          <w:sz w:val="24"/>
        </w:rPr>
        <w:t>att en trygghetsdialog med näringslivet utökas till kvartalsvisa möten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