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förbättrad studiero på Drottninghögsskolan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Skolinspektionen har under 2026 genomfört tematisk granskning av Drottninghögsskolan med fokus på arbetsmiljö och trygghet. Kommunens meritvärde i årskurs 9 ligger runt 228 poäng, i nivå med rikssnittet, men enskilda skolor uppvisar utmaningar med ordning och studiero. Otrygghet bland elever påverkar både kunskapsresultat och lärarnas arbetsmiljö negativt. SD prioriterar kunskap, trygghet och arbetsro i skolan som en kärnfråga. Lokala åtgärder som tydligare regler, ökad vuxennärvaro och konsekvent hantering av störande beteende är nödvändiga för att höja kvaliteten i Helsingborgs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en handlingsplan för ökad studiero och ordning på Drottninghögsskolan inklusive fler vuxna i skolan och tydliga konsekvenser</w:t>
      </w:r>
    </w:p>
    <w:p>
      <w:r>
        <w:rPr>
          <w:rFonts w:ascii="Arial" w:hAnsi="Arial"/>
          <w:sz w:val="24"/>
        </w:rPr>
        <w:t>att resultaten följs upp i nämndens delårsrapporter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