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brottsförebyggande åtgärder i centrala Landskrona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 2025 ligger anmälda brott högre än rikssnittet. Centrala områden behöver riktade insatser mot droghandel och vandalism för att skydda invånare och handel.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åtgärdsplan mot droghandel och skadegörelse i centrum med fler kameror och patrullering.</w:t>
      </w:r>
    </w:p>
    <w:p>
      <w:r>
        <w:rPr>
          <w:rFonts w:ascii="Arial" w:hAnsi="Arial"/>
          <w:sz w:val="24"/>
        </w:rPr>
        <w:t>att samverkan med polis stärks.</w:t>
      </w:r>
    </w:p>
    <w:p>
      <w:r>
        <w:rPr>
          <w:rFonts w:ascii="Arial" w:hAnsi="Arial"/>
          <w:sz w:val="24"/>
        </w:rPr>
        <w:t>att effekten mäts via trygghetsenkäter.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