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prioritering av kommuninvånare i bostads- och servicefrågor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Skattebetalare i Vingåker ska komma först vid fördelning av kommunala resurser som bostäder och omsorg. SD står för medborgarna först-principen.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en policy om prioritering av långvariga kommuninvånare.</w:t>
      </w:r>
    </w:p>
    <w:p>
      <w:r>
        <w:rPr>
          <w:rFonts w:ascii="Arial" w:hAnsi="Arial"/>
          <w:sz w:val="24"/>
        </w:rPr>
        <w:t>att detta gäller vid bostadsförmedling och service.</w:t>
      </w:r>
    </w:p>
    <w:p>
      <w:r>
        <w:rPr>
          <w:rFonts w:ascii="Arial" w:hAnsi="Arial"/>
          <w:sz w:val="24"/>
        </w:rPr>
        <w:t>att policy utvärderas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