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åtgärdsplan mot vildsvinsproblematik på landsbygden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Vildsvin orsakar stora skador på landsbygden i Norrtälje kommun med åkrar, trädgårdar och trafiksäkerhet som drabbas. SD har tidigare motionerat i frågan och ser behov av en kommunal handlingsplan i samverkan med jägare och markägare.</w:t>
      </w:r>
    </w:p>
    <w:p>
      <w:r>
        <w:rPr>
          <w:rFonts w:ascii="Arial" w:hAnsi="Arial"/>
          <w:sz w:val="24"/>
        </w:rPr>
        <w:t>Kommunen kan besluta om stöd till avskjutning, stängsel och samordning. Detta är en konkret landsbygdsfråga som SD prioriterar.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mot vildsvin senast 2027</w:t>
      </w:r>
    </w:p>
    <w:p>
      <w:r>
        <w:rPr>
          <w:rFonts w:ascii="Arial" w:hAnsi="Arial"/>
          <w:sz w:val="24"/>
        </w:rPr>
        <w:t>att planen inkluderar ekonomiskt stöd till avskjutning och förebyggande åtgärder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