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prioritering av medborgare i investeringar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Skattemedel ska gå till lokala behov som skola och vård först. SD vill stoppa onödiga externa projekt. Nynäshamn växer men fokus på invånarna.</w:t>
      </w:r>
    </w:p>
    <w:p>
      <w:r>
        <w:rPr>
          <w:rFonts w:ascii="Arial" w:hAnsi="Arial"/>
          <w:sz w:val="24"/>
        </w:rPr>
        <w:t>Budget 2026 ger möjlighet till omprövning. Kommunen kan besluta om riktlinjer.</w:t>
      </w:r>
    </w:p>
    <w:p>
      <w:r>
        <w:rPr>
          <w:rFonts w:ascii="Arial" w:hAnsi="Arial"/>
          <w:sz w:val="24"/>
        </w:rPr>
        <w:t>Medborgarna först är SD:s kärna.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policy att prioritera lokala välfärdsinvesteringar.</w:t>
      </w:r>
    </w:p>
    <w:p>
      <w:r>
        <w:rPr>
          <w:rFonts w:ascii="Arial" w:hAnsi="Arial"/>
          <w:sz w:val="24"/>
        </w:rPr>
        <w:t>att externa projekt granskas extra noga.</w:t>
      </w:r>
    </w:p>
    <w:p>
      <w:r>
        <w:rPr>
          <w:rFonts w:ascii="Arial" w:hAnsi="Arial"/>
          <w:sz w:val="24"/>
        </w:rPr>
        <w:t>att överskott går till kärnverksamhet.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