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stärkt samverkan med polis för brottsförebyggande arbete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Täbys brottsförebyggande plan 2024-2026 är bra men behöver konkretiseras med fler gemensamma åtgärder. SD vill se utökad samverkan för att hålla Täby trygg. Fokus på utsatta områden och ungdomar stämmer med kommunens mål.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samverkansöverenskommelsen med polisen uppdateras med mätbara mål 2027</w:t>
      </w:r>
    </w:p>
    <w:p>
      <w:r>
        <w:rPr>
          <w:rFonts w:ascii="Arial" w:hAnsi="Arial"/>
          <w:sz w:val="24"/>
        </w:rPr>
        <w:t>att fler gemensamma insatser mot droger och ungdomsbrottslighet prioriteras</w:t>
      </w:r>
    </w:p>
    <w:p>
      <w:r>
        <w:rPr>
          <w:rFonts w:ascii="Arial" w:hAnsi="Arial"/>
          <w:sz w:val="24"/>
        </w:rPr>
        <w:t>att årlig lägesrapport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