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förstärkt brottsförebyggande genom Södertörnssamverkan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Södertörnssamverkan mot organiserad brottslighet startade juni 2026. Tyresö behöver maximera nyttan lokalt efter incidenter som busskjutningen. SD prioriterar trygghet.</w:t>
      </w:r>
    </w:p>
    <w:p>
      <w:r>
        <w:rPr>
          <w:rFonts w:ascii="Arial" w:hAnsi="Arial"/>
          <w:sz w:val="24"/>
        </w:rPr>
        <w:t>Kommunen kan besluta om resursallokering och lokala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lokala åtgärder inom Södertörnssamverkan</w:t>
      </w:r>
    </w:p>
    <w:p>
      <w:r>
        <w:rPr>
          <w:rFonts w:ascii="Arial" w:hAnsi="Arial"/>
          <w:sz w:val="24"/>
        </w:rPr>
        <w:t>att kartläggning av brottslighet i Tyresö uppdateras årligen</w:t>
      </w:r>
    </w:p>
    <w:p>
      <w:r>
        <w:rPr>
          <w:rFonts w:ascii="Arial" w:hAnsi="Arial"/>
          <w:sz w:val="24"/>
        </w:rPr>
        <w:t>att samverkan med polis förstärks vid skolor och centrum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