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Årjängs budget 2026 visar begränsat utrymme. SD vill minska byråkrati för att frigöra resurser till kärnverksamhet. Effektivisering gynnar skattebetalarna.</w:t>
      </w:r>
    </w:p>
    <w:p>
      <w:r>
        <w:rPr>
          <w:rFonts w:ascii="Arial" w:hAnsi="Arial"/>
          <w:sz w:val="24"/>
        </w:rPr>
        <w:t>Små kommuner har särskilt nytta av slimmade organisationer.</w:t>
      </w:r>
    </w:p>
    <w:p>
      <w:r>
        <w:rPr>
          <w:rFonts w:ascii="Arial" w:hAnsi="Arial"/>
          <w:sz w:val="24"/>
        </w:rPr>
        <w:t>Konkreta besparingar kan uppnås genom digitalisering och översyn.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översyn av administrativa processer för kostnadsminskning</w:t>
      </w:r>
    </w:p>
    <w:p>
      <w:r>
        <w:rPr>
          <w:rFonts w:ascii="Arial" w:hAnsi="Arial"/>
          <w:sz w:val="24"/>
        </w:rPr>
        <w:t>att digitala verktyg prioriteras för medborgarservice</w:t>
      </w:r>
    </w:p>
    <w:p>
      <w:r>
        <w:rPr>
          <w:rFonts w:ascii="Arial" w:hAnsi="Arial"/>
          <w:sz w:val="24"/>
        </w:rPr>
        <w:t>att besparingar redovisas i 2027 års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