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prioriterad äldreomsorg med språkkrav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Hagfors har drabbats av allvarliga brister, som fallet där en 87-årig kvinna lämnades på toaletten och larmade upprepade gånger. Språkkrav är nödvändiga för att säkerställa god vård och kommunikation med äldre.</w:t>
      </w:r>
    </w:p>
    <w:p>
      <w:r>
        <w:rPr>
          <w:rFonts w:ascii="Arial" w:hAnsi="Arial"/>
          <w:sz w:val="24"/>
        </w:rPr>
        <w:t>Kommunen förbereder aktivitetskrav för bistånd, vilket bör kopplas till integration och svenska kunskaper i omsorgen. SD prioriterar våra äldre före nyanlända.</w:t>
      </w:r>
    </w:p>
    <w:p>
      <w:r>
        <w:rPr>
          <w:rFonts w:ascii="Arial" w:hAnsi="Arial"/>
          <w:sz w:val="24"/>
        </w:rPr>
        <w:t>Effektiv vård kräver kompetent personal som talar svenska flytande.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obligatoriskt språkkrav (svenska) för personal i hemtjänst och boenden</w:t>
      </w:r>
    </w:p>
    <w:p>
      <w:r>
        <w:rPr>
          <w:rFonts w:ascii="Arial" w:hAnsi="Arial"/>
          <w:sz w:val="24"/>
        </w:rPr>
        <w:t>att äldre prioriteras i vårdplanering och köer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