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prioritering av Sunnebor i kommunal välfärd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i första hand gå till Sunne kommuns invånare. SD vill säkerställa att välfärden inte prioriterar externa intressen.</w:t>
      </w:r>
    </w:p>
    <w:p>
      <w:r>
        <w:rPr>
          <w:rFonts w:ascii="Arial" w:hAnsi="Arial"/>
          <w:sz w:val="24"/>
        </w:rPr>
        <w:t>Kommunen kan införa riktlinjer för resursfördelning.</w:t>
      </w:r>
    </w:p>
    <w:p>
      <w:r>
        <w:rPr>
          <w:rFonts w:ascii="Arial" w:hAnsi="Arial"/>
          <w:sz w:val="24"/>
        </w:rPr>
        <w:t>Tydlig profil för medborgare och skattbetalare.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policy att Sunnebor prioriteras i välfärdsinsatser</w:t>
      </w:r>
    </w:p>
    <w:p>
      <w:r>
        <w:rPr>
          <w:rFonts w:ascii="Arial" w:hAnsi="Arial"/>
          <w:sz w:val="24"/>
        </w:rPr>
        <w:t>att transparens kring resursfördelning 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