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ökad trygghet i centrala Kramfors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februari 2026 genomförde polisen en större insats i Kramfors med flera gripanden kopplade till utlänningskontroll. Detta understryker behovet av lokala trygghetsåtgärder. Brottsstatistiken visar 80 anmälda brott per 1 000 invånare, något över rikssnittet. Kommunen har en åtgärdsplan för brottsförebyggande arbete 2024-2026 med trygghetsvandringar, men mer behövs för att skydda medborgarna. Som SD vill vi prioritera medborgarnas trygghet framför andra intressen.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ta fram en lokal trygghetsplan med fokus på centrala Kramfors inklusive fler kameror och patrullering.</w:t>
      </w:r>
    </w:p>
    <w:p>
      <w:r>
        <w:rPr>
          <w:rFonts w:ascii="Arial" w:hAnsi="Arial"/>
          <w:sz w:val="24"/>
        </w:rPr>
        <w:t>att trygghetsvandringar utökas till alla bostadsområden under 2026.</w:t>
      </w:r>
    </w:p>
    <w:p>
      <w:r>
        <w:rPr>
          <w:rFonts w:ascii="Arial" w:hAnsi="Arial"/>
          <w:sz w:val="24"/>
        </w:rPr>
        <w:t>att en årlig trygghetsrapport presenteras för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