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prioriterad äldreomsorg med fokus på mänsklig kontakt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Satsningen på digitala lösningar 2025 är positiv men får inte ersätta personlig omvårdnad. Äldre ska ha rätt till trygghet och prioritet i kommunens verksamhet. SD vill skydda de äldsta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minst 70 % av hemtjänstbesöken ska vara fysiska under 2026.</w:t>
      </w:r>
    </w:p>
    <w:p>
      <w:r>
        <w:rPr>
          <w:rFonts w:ascii="Arial" w:hAnsi="Arial"/>
          <w:sz w:val="24"/>
        </w:rPr>
        <w:t>att personaltätheten i äldreomsorgen ökas genom omprioritering.</w:t>
      </w:r>
    </w:p>
    <w:p>
      <w:r>
        <w:rPr>
          <w:rFonts w:ascii="Arial" w:hAnsi="Arial"/>
          <w:sz w:val="24"/>
        </w:rPr>
        <w:t>att en brukarundersökning genomförs med fokus på äldre.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