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trygghet och studiero i alla grundskolor i Kramfors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Skolenkäten 2025 visar variation mellan skolor. Kramforsskolan har specifika utmaningar men åtgärder bör gälla alla skolor för likvärdighet. Studiero är avgörande för kunskapsresultat.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kommunövergripande handlingsplan för studiero antas 2026.</w:t>
      </w:r>
    </w:p>
    <w:p>
      <w:r>
        <w:rPr>
          <w:rFonts w:ascii="Arial" w:hAnsi="Arial"/>
          <w:sz w:val="24"/>
        </w:rPr>
        <w:t>att lärarna ges fortbildning i ledarskap och ordning.</w:t>
      </w:r>
    </w:p>
    <w:p>
      <w:r>
        <w:rPr>
          <w:rFonts w:ascii="Arial" w:hAnsi="Arial"/>
          <w:sz w:val="24"/>
        </w:rPr>
        <w:t>att resultat följs upp via Skolinspektionens enkäter.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