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står för att kommunens resurser i första hand ska gå till Hallstahammars invånare. Budgeten 2026 har fokus på välfärd men behöver tydligare prioritering. Effektiviseringar och besparingar ska skydda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att kommuninvånare alltid prioriteras vid resursfördelning.</w:t>
      </w:r>
    </w:p>
    <w:p>
      <w:r>
        <w:rPr>
          <w:rFonts w:ascii="Arial" w:hAnsi="Arial"/>
          <w:sz w:val="24"/>
        </w:rPr>
        <w:t>att alla nämnder redovisar hur beslut påverkar lokala medborgare.</w:t>
      </w:r>
    </w:p>
    <w:p>
      <w:r>
        <w:rPr>
          <w:rFonts w:ascii="Arial" w:hAnsi="Arial"/>
          <w:sz w:val="24"/>
        </w:rPr>
        <w:t>att icke-nödvändiga utgifter ses över för att frigöra medel till välfärd.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