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demokratikrav och språkkrav för kommunalt föreningsstöd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Alingsås har en integrationsenhet och ger stöd till ny i Sverige. För att värna svenska värderingar, demokrati och fungerande integration bör kommunalt bidrag och stöd till föreningar och organisationer villkoras med krav på demokratiska värderingar enligt svensk lag och grundläggande kunskaper i svenska hos ansvariga.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införa villkor i kommunens bidragsregler om att mottagande föreningar och organisationer aktivt ska verka för demokratiska värderingar och svenska språket.</w:t>
      </w:r>
    </w:p>
    <w:p>
      <w:r>
        <w:rPr>
          <w:rFonts w:ascii="Arial" w:cs="Arial" w:eastAsia="Arial" w:hAnsi="Arial"/>
          <w:sz w:val="24"/>
          <w:szCs w:val="24"/>
        </w:rPr>
        <w:t xml:space="preserve">att neka eller återkräva stöd vid brott mot dessa krav.</w:t>
      </w:r>
    </w:p>
    <w:p>
      <w:r>
        <w:rPr>
          <w:rFonts w:ascii="Arial" w:cs="Arial" w:eastAsia="Arial" w:hAnsi="Arial"/>
          <w:sz w:val="24"/>
          <w:szCs w:val="24"/>
        </w:rPr>
        <w:t xml:space="preserve">att redovisa offentligt vilka föreningar som får kommunalt stöd och vilka krav som ställts.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2026-06-05T15:21:47.748Z</dcterms:created>
  <dcterms:modified xsi:type="dcterms:W3CDTF">2026-06-05T15:21:47.748Z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