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Essunga kommun</w:t>
      </w:r>
    </w:p>
    <w:p/>
    <w:p>
      <w:r>
        <w:rPr>
          <w:rFonts w:ascii="Arial" w:hAnsi="Arial"/>
          <w:b/>
          <w:sz w:val="24"/>
        </w:rPr>
        <w:t>Motion till Essunga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Essunga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Essunga har hög nöjdhet med äldreomsorgen, men god kommunikation är avgörande för kvalitet och trygghet. Språkkrav säkerställer att personal kan kommunicera med äldre på svenska. Detta är en SD-kärnfråga om prioritering av svenska språket.</w:t>
      </w:r>
    </w:p>
    <w:p>
      <w:r>
        <w:rPr>
          <w:rFonts w:ascii="Arial" w:hAnsi="Arial"/>
          <w:sz w:val="24"/>
        </w:rPr>
        <w:t>Kommunen kan införa krav vid nyrekrytering och utbildningar. Det stärker både omsorgstagare och personal.</w:t>
      </w:r>
    </w:p>
    <w:p>
      <w:r>
        <w:rPr>
          <w:rFonts w:ascii="Arial" w:hAnsi="Arial"/>
          <w:sz w:val="24"/>
        </w:rPr>
        <w:t>Åtgärden ligger helt inom kommunens kompetens och är kostnadseffektiv långsiktigt.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språkkrav på svenska nivå C1 eller motsvarande införs för all ny personal i äldreomsorgen från 2027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kravet inkluderas i upphandlingar av externa utförare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Essunga)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Essunga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Essunga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