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ökad kamerabevakning på otrygga platser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SD:s budgetförslag betonar ökad kamerabevakning på kommunal mark och skolgårdar. Detta kompletterar polisen och ökar tryggheten.</w:t>
      </w:r>
    </w:p>
    <w:p>
      <w:r>
        <w:rPr>
          <w:rFonts w:ascii="Arial" w:hAnsi="Arial"/>
          <w:sz w:val="24"/>
        </w:rPr>
        <w:t>Med ökade narkotikabrott är preventiva åtgärder viktiga.</w:t>
      </w:r>
    </w:p>
    <w:p>
      <w:r>
        <w:rPr>
          <w:rFonts w:ascii="Arial" w:hAnsi="Arial"/>
          <w:sz w:val="24"/>
        </w:rPr>
        <w:t>Kommunen kan själv besluta om installationer.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kamerabevakning utökas på identifierade otrygga platser 2026</w:t>
      </w:r>
    </w:p>
    <w:p>
      <w:r>
        <w:rPr>
          <w:rFonts w:ascii="Arial" w:hAnsi="Arial"/>
          <w:sz w:val="24"/>
        </w:rPr>
        <w:t>att skolgårdar prioriteras</w:t>
      </w:r>
    </w:p>
    <w:p>
      <w:r>
        <w:rPr>
          <w:rFonts w:ascii="Arial" w:hAnsi="Arial"/>
          <w:sz w:val="24"/>
        </w:rPr>
        <w:t>att en strategi tas fram i samverkan med polis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