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trygghetsfokus vid utveckling av Arena Moliden</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Den nya arenan invigdes 2026 och ger gemenskap, men SD vill säkerställa att den bidrar till trygghet och inkludering på kommunens villkor. Prioritering av lokala evenemang och övervakning maximerar nyttan för Karlsborgs invånare.</w:t>
      </w:r>
    </w:p>
    <w:p/>
    <w:p>
      <w:r>
        <w:rPr>
          <w:rFonts w:ascii="Arial" w:hAnsi="Arial"/>
          <w:b/>
          <w:sz w:val="24"/>
        </w:rPr>
        <w:t>Förslag till beslut</w:t>
      </w:r>
    </w:p>
    <w:p>
      <w:r>
        <w:rPr>
          <w:rFonts w:ascii="Arial" w:hAnsi="Arial"/>
          <w:sz w:val="24"/>
        </w:rPr>
        <w:t>att kommunfullmäktige beslutar om trygghetsåtgärder som kameror och belysning vid Arena Moliden</w:t>
      </w:r>
    </w:p>
    <w:p>
      <w:r>
        <w:rPr>
          <w:rFonts w:ascii="Arial" w:hAnsi="Arial"/>
          <w:sz w:val="24"/>
        </w:rPr>
        <w:t>att evenemangsplanering prioriterar lokala föreningar och invånare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