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utökat brottsförebyggande arbete mot vapenbrott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Vapenbrotten har ökat kraftigt i Mölndal. Kommunen arbetar brottsförebyggande via Trygg i Mölndal och projekt 2026 om otrygga platser. SD vill intensifiera insatserna.</w:t>
      </w:r>
    </w:p>
    <w:p>
      <w:r>
        <w:rPr>
          <w:rFonts w:ascii="Arial" w:hAnsi="Arial"/>
          <w:sz w:val="24"/>
        </w:rPr>
        <w:t>Kommunen kan besluta om fler resurser till förebyggande arbete mot ungdomar i riskzon.</w:t>
      </w:r>
    </w:p>
    <w:p>
      <w:r>
        <w:rPr>
          <w:rFonts w:ascii="Arial" w:hAnsi="Arial"/>
          <w:sz w:val="24"/>
        </w:rPr>
        <w:t>Trygghet är högsta prioritet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förstärka samarbetet med polisen mot vapen- och narkotikabrott</w:t>
      </w:r>
    </w:p>
    <w:p>
      <w:r>
        <w:rPr>
          <w:rFonts w:ascii="Arial" w:hAnsi="Arial"/>
          <w:sz w:val="24"/>
        </w:rPr>
        <w:t>att en särskild handlingsplan mot organiserad brottslighet antas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