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förstärkta åtgärder för studiero på Sotenässkolan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Sotenäs kommun rankas högt i skolindex 2025 men 17 procent av niorna på Sotenässkolan saknade full behörighet 2025. Studiero är avgörande för att bibehålla goda resultat. SD vill prioritera ordning och lärande i skolan. Lokala enkäter visar behov av bättre stöd. Åtgärder kan implementeras kommunalt utan externa hinder.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ökade resurser för ordningsstöd på Sotenässkolan.</w:t>
      </w:r>
    </w:p>
    <w:p>
      <w:r>
        <w:rPr>
          <w:rFonts w:ascii="Arial" w:hAnsi="Arial"/>
          <w:sz w:val="24"/>
        </w:rPr>
        <w:t>att införa tydligare regler för mobilanvändning och frånvaro.</w:t>
      </w:r>
    </w:p>
    <w:p>
      <w:r>
        <w:rPr>
          <w:rFonts w:ascii="Arial" w:hAnsi="Arial"/>
          <w:sz w:val="24"/>
        </w:rPr>
        <w:t>att erbjuda extra stöd till elever som riskerar att inte nå målen.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