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förstärkta brottsförebyggande insatser vid Baggeboskolan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är en viktig arena för att förebygga kriminalitet bland unga. Med sjunkande resultat och oro för ordning behöver Baggeboskolan specifika åtgärder som samverkan med socialtjänst och polis.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får i uppdrag att införa tidig samverkan med polis vid tecken på riskbeteende på Baggeboskolan</w:t>
      </w:r>
    </w:p>
    <w:p>
      <w:r>
        <w:rPr>
          <w:rFonts w:ascii="Arial" w:hAnsi="Arial"/>
          <w:sz w:val="24"/>
        </w:rPr>
        <w:t>att föräldrautbildning om ansvar erbjuds från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